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sz w:val="36"/>
          <w:szCs w:val="36"/>
        </w:rPr>
        <w:t xml:space="preserve">Checkliste Verkaufsunterlagen</w:t>
      </w:r>
    </w:p>
    <w:p>
      <w:pPr>
        <w:spacing w:after="320" w:before="0"/>
      </w:pPr>
      <w:r>
        <w:t xml:space="preserve">Teil A: Eigentumswohnung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Wohnung:</w:t>
      </w:r>
      <w:r>
        <w:t xml:space="preserve">	</w:t>
      </w:r>
      <w:r>
        <w:rPr>
          <w:highlight w:val="yellow"/>
          <w:highlightCs w:val="yellow"/>
        </w:rPr>
        <w:t xml:space="preserve">[Anschrift des Objekts]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Eigentümer laut Grundbuch:</w:t>
      </w:r>
      <w:r>
        <w:t xml:space="preserve">	</w:t>
      </w:r>
      <w:r>
        <w:rPr>
          <w:highlight w:val="yellow"/>
          <w:highlightCs w:val="yellow"/>
        </w:rPr>
        <w:t xml:space="preserve">[Namen der eingetragenen Eigentümer]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Grundbuch von:</w:t>
      </w:r>
      <w:r>
        <w:t xml:space="preserve">	</w:t>
      </w:r>
      <w:r>
        <w:rPr>
          <w:highlight w:val="yellow"/>
          <w:highlightCs w:val="yellow"/>
        </w:rPr>
        <w:t xml:space="preserve">[Grundbuchbezirk]</w:t>
      </w:r>
      <w:r>
        <w:t xml:space="preserve">, Blatt </w:t>
      </w:r>
      <w:r>
        <w:rPr>
          <w:highlight w:val="yellow"/>
          <w:highlightCs w:val="yellow"/>
        </w:rPr>
        <w:t xml:space="preserve">[Blattnummer]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Verwaltung:</w:t>
      </w:r>
      <w:r>
        <w:t xml:space="preserve">	</w:t>
      </w:r>
      <w:r>
        <w:rPr>
          <w:highlight w:val="yellow"/>
          <w:highlightCs w:val="yellow"/>
        </w:rPr>
        <w:t xml:space="preserve">[Name der Verwaltung]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Stand der Liste:</w:t>
      </w:r>
      <w:r>
        <w:t xml:space="preserve">	</w:t>
      </w:r>
      <w:r>
        <w:rPr>
          <w:highlight w:val="yellow"/>
          <w:highlightCs w:val="yellow"/>
        </w:rPr>
        <w:t xml:space="preserve">[Datum]</w:t>
      </w:r>
    </w:p>
    <w:p>
      <w:pPr>
        <w:spacing w:after="160" w:before="0"/>
      </w:pPr>
      <w:r>
        <w:rPr>
          <w:b/>
          <w:bCs/>
          <w:color w:val="666666"/>
          <w:sz w:val="18"/>
          <w:szCs w:val="18"/>
        </w:rPr>
        <w:t xml:space="preserve">Fett</w:t>
      </w:r>
      <w:r>
        <w:rPr>
          <w:color w:val="666666"/>
          <w:sz w:val="18"/>
          <w:szCs w:val="18"/>
        </w:rPr>
        <w:t xml:space="preserve"> = gesetzliche Pflicht, bei der Zustimmung nur, wenn sie vereinbart ist. Alle anderen Unterlagen sind üblich: Käufer, Bank oder Notar fragen danach, eine Vorlagepflicht gibt es nicht. ☐ = liegt vor.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180"/>
        <w:gridCol w:w="2899"/>
        <w:gridCol w:w="3273"/>
      </w:tblGrid>
      <w:tr>
        <w:trPr>
          <w:tblHeader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Unterlage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Wo Sie sie bekommen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Pflicht oder üblich, Grundlage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</w:t>
            </w:r>
            <w:r>
              <w:rPr>
                <w:b/>
                <w:bCs/>
              </w:rPr>
              <w:t xml:space="preserve">Energieausweis des Gebäudes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 oder Verwaltung; neu von einer berechtigten Person (§ 88 GModG)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Pflicht:</w:t>
            </w:r>
            <w:r>
              <w:rPr>
                <w:b w:val="false"/>
                <w:bCs w:val="false"/>
              </w:rPr>
              <w:t xml:space="preserve"> vorlegen spätestens bei der Besichtigung, nach dem Kaufvertrag übergeben, Kennwerte ins Inserat, wenn ein Ausweis vorliegt. Ausnahmen: kleine Gebäude; bei Baudenkmälern entfallen Vorlage und Übergabe (§ 79 Abs. 4). §§ 80, 87 Abs. 1 GModG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</w:t>
            </w:r>
            <w:r>
              <w:rPr>
                <w:b/>
                <w:bCs/>
              </w:rPr>
              <w:t xml:space="preserve">Zustimmung zur Veräußerung</w:t>
            </w:r>
            <w:r>
              <w:rPr>
                <w:b w:val="false"/>
                <w:bCs w:val="false"/>
              </w:rPr>
              <w:t xml:space="preserve">, nur wenn in der Teilungserklärung als Inhalt des Sondereigentums vereinbart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Wer laut Vereinbarung zustimmt: andere Wohnungseigentümer oder ein Dritter, z. B. die 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Pflicht, wenn vereinbart;</w:t>
            </w:r>
            <w:r>
              <w:rPr>
                <w:b w:val="false"/>
                <w:bCs w:val="false"/>
              </w:rPr>
              <w:t xml:space="preserve"> dann ausdrücklich ins Grundbuch einzutragen. Ohne Zustimmung sind Vertrag und Veräußerung unwirksam. § 12 Abs. 1 und 3, § 7 Abs. 3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Grundbuchauszug, Abteilung I bis III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Grundbuchamt beim Amtsgericht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12 GBO; GNotKG Anlage 1 KV Nr. 17000, 17001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Teilungserklärung mit Gemeinschaftsordnung, Aufteilungsplan und Nachträgen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Grundakte beim Grundbuchamt oder 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12 Abs. 1 Satz 2 GBO; § 7 Abs. 4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Protokolle der Eigentümerversammlungen, mindestens der letzten drei Jahre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Üblich, keine gesetzliche Pflicht. BGH V ZR 77/22, Rn. 44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Beschluss-Sammlung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24 Abs. 7 und 8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Wirtschaftsplan und letzte Jahresabrechnung (Hausgeld)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28 Abs. 1 und 2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Vermögensbericht mit Stand der Erhaltungsrücklage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28 Abs. 4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Anstehende Maßnahmen und beschlossene Sonderumlagen, schriftlich festgehalten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Protokolle, Verwaltung, eigenes Wissen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Offenlegen, was Sie wissen. § 444 BGB; BGH V ZR 77/22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Verwaltervertrag und Kontaktdaten der Verwaltung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 (Einsicht nach § 18 Abs. 4 WEG)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18 Abs. 4, § 26 WEG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Grundriss und Wohnflächenberechnung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Bauakte im Bauaktenarchiv oder 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Berechnungsart nicht vorgeschrieben, gängig ist die WoFlV. §§ 1 bis 4 WoFlV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Grundsteuerbescheid und Zahlungsnachweis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Finanzamt (Berlin, Hamburg), Stadt (Leipzig, Magdeburg)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§§ 9 bis 12 GrStG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Nachweis der Gebäudeversicherung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Verwaltung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(Praxis)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Ursprünglicher Kaufvertrag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 oder Notar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(Praxis); Bezug zu § 23 EStG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Liste der Reparaturen und Modernisierungen in der Wohnung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offenlegen, was Sie wissen. § 444 BGB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Bei Vermietung: Mietvertrag mit Nachträgen, Kautionsnachweis, letzte Betriebskostenabrechnung, Nachweis der letzten Mieteingänge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Bei Vermietung nötig, keine Vorlagepflicht. §§ 566, 566a BGB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Ausweiskopie aller eingetragenen Eigentümer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(Notar, Makler fragen danach)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spacing w:after="60" w:before="0"/>
      </w:pPr>
      <w:r>
        <w:rPr>
          <w:b/>
          <w:bCs/>
          <w:sz w:val="36"/>
          <w:szCs w:val="36"/>
        </w:rPr>
        <w:t xml:space="preserve">Checkliste Verkaufsunterlagen</w:t>
      </w:r>
    </w:p>
    <w:p>
      <w:pPr>
        <w:spacing w:after="320" w:before="0"/>
      </w:pPr>
      <w:r>
        <w:t xml:space="preserve">Teil B: Haus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Haus:</w:t>
      </w:r>
      <w:r>
        <w:t xml:space="preserve">	</w:t>
      </w:r>
      <w:r>
        <w:rPr>
          <w:highlight w:val="yellow"/>
          <w:highlightCs w:val="yellow"/>
        </w:rPr>
        <w:t xml:space="preserve">[Anschrift des Objekts]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Eigentümer laut Grundbuch:</w:t>
      </w:r>
      <w:r>
        <w:t xml:space="preserve">	</w:t>
      </w:r>
      <w:r>
        <w:rPr>
          <w:highlight w:val="yellow"/>
          <w:highlightCs w:val="yellow"/>
        </w:rPr>
        <w:t xml:space="preserve">[Namen der eingetragenen Eigentümer]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Grundbuch von:</w:t>
      </w:r>
      <w:r>
        <w:t xml:space="preserve">	</w:t>
      </w:r>
      <w:r>
        <w:rPr>
          <w:highlight w:val="yellow"/>
          <w:highlightCs w:val="yellow"/>
        </w:rPr>
        <w:t xml:space="preserve">[Grundbuchbezirk]</w:t>
      </w:r>
      <w:r>
        <w:t xml:space="preserve">, Blatt </w:t>
      </w:r>
      <w:r>
        <w:rPr>
          <w:highlight w:val="yellow"/>
          <w:highlightCs w:val="yellow"/>
        </w:rPr>
        <w:t xml:space="preserve">[Blattnummer]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Stand der Liste:</w:t>
      </w:r>
      <w:r>
        <w:t xml:space="preserve">	</w:t>
      </w:r>
      <w:r>
        <w:rPr>
          <w:highlight w:val="yellow"/>
          <w:highlightCs w:val="yellow"/>
        </w:rPr>
        <w:t xml:space="preserve">[Datum]</w:t>
      </w:r>
    </w:p>
    <w:p>
      <w:pPr>
        <w:spacing w:after="160" w:before="0"/>
      </w:pPr>
      <w:r>
        <w:rPr>
          <w:b/>
          <w:bCs/>
          <w:color w:val="666666"/>
          <w:sz w:val="18"/>
          <w:szCs w:val="18"/>
        </w:rPr>
        <w:t xml:space="preserve">Fett</w:t>
      </w:r>
      <w:r>
        <w:rPr>
          <w:color w:val="666666"/>
          <w:sz w:val="18"/>
          <w:szCs w:val="18"/>
        </w:rPr>
        <w:t xml:space="preserve"> = gesetzliche Pflicht. Alle anderen Unterlagen sind üblich: Käufer, Bank oder Notar fragen danach, eine Vorlagepflicht gibt es nicht. ☐ = liegt vor.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180"/>
        <w:gridCol w:w="2899"/>
        <w:gridCol w:w="3273"/>
      </w:tblGrid>
      <w:tr>
        <w:trPr>
          <w:tblHeader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Unterlage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Wo Sie sie bekommen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Pflicht oder üblich, Grundlage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</w:t>
            </w:r>
            <w:r>
              <w:rPr>
                <w:b/>
                <w:bCs/>
              </w:rPr>
              <w:t xml:space="preserve">Energieausweis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Unterlagen; neu von einer berechtigten Person (§ 88 GModG)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Pflicht:</w:t>
            </w:r>
            <w:r>
              <w:rPr>
                <w:b w:val="false"/>
                <w:bCs w:val="false"/>
              </w:rPr>
              <w:t xml:space="preserve"> vorlegen spätestens bei der Besichtigung, nach dem Kaufvertrag übergeben, Kennwerte ins Inserat, wenn ein Ausweis vorliegt. Ausnahmen: kleine Gebäude; bei Baudenkmälern entfallen Vorlage und Übergabe (§ 79 Abs. 4). §§ 80, 87 Abs. 1 GModG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Grundbuchauszug, Abteilung I bis III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Grundbuchamt beim Amtsgericht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12 GBO; GNotKG Anlage 1 KV Nr. 17000, 17001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Flurkarte (Auszug aus der Liegenschaftskarte)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Berlin: Vermessungsamt des Bezirks; Leipzig: Amt für Geoinformation und Bodenordnung; Hamburg: LGV, nur online; Magdeburg: LVermGeo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(Praxis)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Baugenehmigung, Baubeschreibung, Bauzeichnungen und Grundrisse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Bauakte im Bauaktenarchiv, 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eine fehlende Genehmigung ist regelmäßig ein Sachmangel. BGH V ZR 266/11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Wohnflächenberechnung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Bauakte oder 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Berechnungsart nicht vorgeschrieben, gängig ist die WoFlV. §§ 1 bis 4 WoFlV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Auskunft aus dem Baulastenverzeichnis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Bauaufsicht (Berlin: Bezirksamt; Leipzig, Magdeburg: Bauaufsichtsbehörde der Stadt); Hamburg: LGV, nur online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Banken verlangen sie laut hamburg.de. § 83 SächsBO, § 83 HBauO, Berlin laut Behördenseite § 84 Abs. 5 BauO Bln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Altlastenauskunft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Umweltamt bzw. Bodenschutzbehörde (Hamburg: BUKEA)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eine bekannte Nutzung mit Altlastenverdacht offenlegen. § 2 Abs. 5 und 6, § 4 Abs. 6 BBodSchG; BGH V ZR 250/15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Bescheinigung über Erschließungs- und Anliegerbeiträge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Berlin: Straßen- und Grünflächenamt des Bezirks; Leipzig: Mobilitäts- und Tiefbauamt; Hamburg: Behörde für Finanzen und Bezirke; Magdeburg: Fachbereich Mobilität und technische Infrastruktur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 436 Abs. 1 BGB; §§ 133, 134 BauGB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Grundsteuerbescheid und Zahlungsnachweis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Finanzamt (Berlin, Hamburg), Stadt (Leipzig, Magdeburg)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Üblich. §§ 9 bis 12 GrStG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Gebäudeversicherung: Versicherungsschein und letzte Beitragsrechnung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 oder Versicherer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die Versicherung geht auf den Käufer über. §§ 95 bis 97 VVG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Betriebskosten der letzten Jahre (Heizung, Wasser, Versicherungen, Grundsteuer)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(Praxis)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Liste der Reparaturen und Modernisierungen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offenlegen, was Sie wissen. § 444 BGB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Ursprünglicher Kauf- oder Bauvertrag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 oder Notar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(Praxis); Bezug zu § 23 EStG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Bei Vermietung: Mieterliste, Mietverträge mit Nachträgen, Kautionsnachweise, letzte Betriebskostenabrechnung, Nachweis der letzten Mieteingänge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Bei Vermietung nötig, keine Vorlagepflicht. §§ 566, 566a BGB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Nutzungs- und Pachtverträge, z. B. Photovoltaik auf dem Dach, mit Registrierung der Anlage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Unterlagen; Grundbuch Abteilung II; Marktstammdatenregister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Üblich; ob der Käufer eintritt, hängt vom Vertrag ab. § 578 Abs. 1, § 581 Abs. 2 BGB; §§ 5, 7 MaStRV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Baugrundgutachten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Gutachter, meist vom Käufer beauftragt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Freiwillig, kein Gesetz schreibt es vor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Fotos innen und außen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Aufnahmen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(Exposé)</w:t>
            </w:r>
          </w:p>
        </w:tc>
      </w:tr>
      <w:tr>
        <w:trPr>
          <w:tblHeader w:val="false"/>
        </w:trPr>
        <w:tc>
          <w:tcPr>
            <w:tcW w:type="dxa" w:w="3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☐ Ausweiskopie aller eingetragenen Eigentümer</w:t>
            </w:r>
          </w:p>
        </w:tc>
        <w:tc>
          <w:tcPr>
            <w:tcW w:type="dxa" w:w="28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Eigene Unterlagen</w:t>
            </w:r>
          </w:p>
        </w:tc>
        <w:tc>
          <w:tcPr>
            <w:tcW w:type="dxa" w:w="3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Üblich (Notar, Makler fragen danach)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rPr>
          <w:color w:val="666666"/>
          <w:sz w:val="18"/>
          <w:szCs w:val="18"/>
        </w:rPr>
        <w:t xml:space="preserve">Entscheidungen: BGH, Urteil vom 12.04.2013, V ZR 266/11 · Urteil vom 06.11.2015, V ZR 78/14 · Urteil vom 09.12.2016, V ZR 84/16 · Urteil vom 21.07.2017, V ZR 250/15 · Urteil vom 15.09.2023, V ZR 77/22. Gesetzesstand: BGB zuletzt geändert durch Art. 6 G v. 23.7.2026 I Nr. 226; GModG durch Art. 4 G v. 23.7.2026 I Nr. 226; GBO durch Art. 3 G v. 22.6.2026 I Nr. 192; WEG durch Art. 1 G v. 10.10.2024 I Nr. 306. Behördenangaben abgerufen am 03.10.2026.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Verkaufsunterlagen: Checkliste für Wohnung und Haus, mit Pflicht und Bezugsstelle</dc:title>
  <dc:creator>Eigentümer-Ratgeber</dc:creator>
  <cp:lastModifiedBy>Un-named</cp:lastModifiedBy>
  <cp:revision>1</cp:revision>
  <dcterms:created xsi:type="dcterms:W3CDTF">2026-10-04T19:30:09.171Z</dcterms:created>
  <dcterms:modified xsi:type="dcterms:W3CDTF">2026-10-04T19:30:09.171Z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